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黑体" w:cs="仿宋"/>
          <w:b/>
          <w:bCs/>
          <w:sz w:val="24"/>
          <w:szCs w:val="24"/>
          <w:vertAlign w:val="baseline"/>
          <w:lang w:val="en-US" w:eastAsia="zh-CN"/>
        </w:rPr>
      </w:pPr>
      <w:r>
        <w:rPr>
          <w:rFonts w:hint="eastAsia" w:ascii="黑体" w:hAnsi="黑体" w:eastAsia="黑体" w:cs="黑体"/>
          <w:b/>
          <w:bCs/>
          <w:sz w:val="36"/>
          <w:szCs w:val="36"/>
          <w:vertAlign w:val="baseline"/>
          <w:lang w:val="en-US" w:eastAsia="zh-CN"/>
        </w:rPr>
        <w:t>商务部竞聘岗位及岗位职责</w:t>
      </w:r>
    </w:p>
    <w:tbl>
      <w:tblPr>
        <w:tblStyle w:val="4"/>
        <w:tblW w:w="9060" w:type="dxa"/>
        <w:tblInd w:w="-4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4"/>
        <w:gridCol w:w="1290"/>
        <w:gridCol w:w="411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114" w:type="dxa"/>
            <w:shd w:val="clear" w:color="auto" w:fill="D7D7D7" w:themeFill="background1" w:themeFillShade="D8"/>
            <w:vAlign w:val="center"/>
          </w:tcPr>
          <w:p>
            <w:pPr>
              <w:jc w:val="center"/>
              <w:rPr>
                <w:rFonts w:hint="eastAsia" w:ascii="仿宋_GB2312" w:hAnsi="仿宋_GB2312" w:eastAsia="仿宋_GB2312" w:cs="仿宋_GB2312"/>
                <w:b/>
                <w:bCs/>
                <w:sz w:val="24"/>
                <w:szCs w:val="24"/>
                <w:highlight w:val="none"/>
                <w:shd w:val="clear" w:color="auto" w:fill="auto"/>
                <w:vertAlign w:val="baseline"/>
                <w:lang w:val="en-US" w:eastAsia="zh-CN"/>
              </w:rPr>
            </w:pPr>
            <w:r>
              <w:rPr>
                <w:rFonts w:hint="eastAsia" w:ascii="仿宋_GB2312" w:hAnsi="仿宋_GB2312" w:eastAsia="仿宋_GB2312" w:cs="仿宋_GB2312"/>
                <w:b/>
                <w:bCs/>
                <w:sz w:val="24"/>
                <w:szCs w:val="24"/>
                <w:highlight w:val="none"/>
                <w:shd w:val="clear" w:color="auto" w:fill="auto"/>
                <w:vertAlign w:val="baseline"/>
                <w:lang w:val="en-US" w:eastAsia="zh-CN"/>
              </w:rPr>
              <w:t>岗位名称</w:t>
            </w:r>
          </w:p>
        </w:tc>
        <w:tc>
          <w:tcPr>
            <w:tcW w:w="1290" w:type="dxa"/>
            <w:shd w:val="clear" w:color="auto" w:fill="D7D7D7" w:themeFill="background1" w:themeFillShade="D8"/>
            <w:vAlign w:val="center"/>
          </w:tcPr>
          <w:p>
            <w:pPr>
              <w:jc w:val="center"/>
              <w:rPr>
                <w:rFonts w:hint="eastAsia" w:ascii="仿宋_GB2312" w:hAnsi="仿宋_GB2312" w:eastAsia="仿宋_GB2312" w:cs="仿宋_GB2312"/>
                <w:b/>
                <w:bCs/>
                <w:color w:val="000000" w:themeColor="text1"/>
                <w:sz w:val="24"/>
                <w:szCs w:val="24"/>
                <w:highlight w:val="none"/>
                <w:shd w:val="clear" w:color="auto" w:fill="auto"/>
                <w:vertAlign w:val="baseline"/>
                <w:lang w:val="en-US" w:eastAsia="zh-CN"/>
                <w14:textFill>
                  <w14:solidFill>
                    <w14:schemeClr w14:val="tx1"/>
                  </w14:solidFill>
                </w14:textFill>
              </w:rPr>
            </w:pPr>
            <w:r>
              <w:rPr>
                <w:rFonts w:hint="eastAsia" w:ascii="仿宋_GB2312" w:hAnsi="仿宋_GB2312" w:eastAsia="仿宋_GB2312" w:cs="仿宋_GB2312"/>
                <w:b/>
                <w:bCs/>
                <w:sz w:val="24"/>
                <w:szCs w:val="24"/>
                <w:highlight w:val="none"/>
                <w:shd w:val="clear" w:color="auto" w:fill="auto"/>
                <w:vertAlign w:val="baseline"/>
                <w:lang w:val="en-US" w:eastAsia="zh-CN"/>
              </w:rPr>
              <w:t>岗位级别</w:t>
            </w:r>
          </w:p>
        </w:tc>
        <w:tc>
          <w:tcPr>
            <w:tcW w:w="4110" w:type="dxa"/>
            <w:shd w:val="clear" w:color="auto" w:fill="D7D7D7" w:themeFill="background1" w:themeFillShade="D8"/>
            <w:vAlign w:val="center"/>
          </w:tcPr>
          <w:p>
            <w:pPr>
              <w:jc w:val="center"/>
              <w:rPr>
                <w:rFonts w:hint="eastAsia" w:ascii="仿宋_GB2312" w:hAnsi="仿宋_GB2312" w:eastAsia="仿宋_GB2312" w:cs="仿宋_GB2312"/>
                <w:b/>
                <w:bCs/>
                <w:sz w:val="24"/>
                <w:szCs w:val="24"/>
                <w:highlight w:val="none"/>
                <w:shd w:val="clear" w:color="auto" w:fill="auto"/>
                <w:vertAlign w:val="baseline"/>
                <w:lang w:val="en-US" w:eastAsia="zh-CN"/>
              </w:rPr>
            </w:pPr>
            <w:r>
              <w:rPr>
                <w:rFonts w:hint="eastAsia" w:ascii="仿宋_GB2312" w:hAnsi="仿宋_GB2312" w:eastAsia="仿宋_GB2312" w:cs="仿宋_GB2312"/>
                <w:b/>
                <w:bCs/>
                <w:sz w:val="24"/>
                <w:szCs w:val="24"/>
                <w:highlight w:val="none"/>
                <w:shd w:val="clear" w:color="auto" w:fill="auto"/>
                <w:vertAlign w:val="baseline"/>
                <w:lang w:val="en-US" w:eastAsia="zh-CN"/>
              </w:rPr>
              <w:t>主要岗位职责</w:t>
            </w:r>
          </w:p>
        </w:tc>
        <w:tc>
          <w:tcPr>
            <w:tcW w:w="1546" w:type="dxa"/>
            <w:shd w:val="clear" w:color="auto" w:fill="D7D7D7" w:themeFill="background1" w:themeFillShade="D8"/>
            <w:vAlign w:val="center"/>
          </w:tcPr>
          <w:p>
            <w:pPr>
              <w:jc w:val="center"/>
              <w:rPr>
                <w:rFonts w:hint="eastAsia" w:ascii="仿宋_GB2312" w:hAnsi="仿宋_GB2312" w:eastAsia="仿宋_GB2312" w:cs="仿宋_GB2312"/>
                <w:b/>
                <w:bCs/>
                <w:sz w:val="24"/>
                <w:szCs w:val="24"/>
                <w:highlight w:val="none"/>
                <w:shd w:val="clear" w:color="auto" w:fill="auto"/>
                <w:vertAlign w:val="baseline"/>
                <w:lang w:val="en-US" w:eastAsia="zh-CN"/>
              </w:rPr>
            </w:pPr>
            <w:r>
              <w:rPr>
                <w:rFonts w:hint="eastAsia" w:ascii="仿宋_GB2312" w:hAnsi="仿宋_GB2312" w:eastAsia="仿宋_GB2312" w:cs="仿宋_GB2312"/>
                <w:b/>
                <w:bCs/>
                <w:sz w:val="24"/>
                <w:szCs w:val="24"/>
                <w:highlight w:val="none"/>
                <w:shd w:val="clear" w:color="auto" w:fill="auto"/>
                <w:vertAlign w:val="baseline"/>
                <w:lang w:val="en-US" w:eastAsia="zh-CN"/>
              </w:rPr>
              <w:t>基本任职资格以外要求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shd w:val="clear" w:color="auto" w:fill="auto"/>
            <w:vAlign w:val="center"/>
          </w:tcPr>
          <w:p>
            <w:pPr>
              <w:spacing w:line="320" w:lineRule="exact"/>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r>
              <w:rPr>
                <w:rFonts w:hint="eastAsia" w:ascii="仿宋_GB2312" w:hAnsi="仿宋_GB2312" w:eastAsia="仿宋_GB2312" w:cs="仿宋_GB2312"/>
                <w:b w:val="0"/>
                <w:bCs w:val="0"/>
                <w:sz w:val="24"/>
                <w:szCs w:val="24"/>
                <w:highlight w:val="none"/>
                <w:shd w:val="clear" w:color="auto" w:fill="auto"/>
                <w:vertAlign w:val="baseline"/>
                <w:lang w:val="en-US" w:eastAsia="zh-CN"/>
              </w:rPr>
              <w:t>部门经理</w:t>
            </w:r>
          </w:p>
        </w:tc>
        <w:tc>
          <w:tcPr>
            <w:tcW w:w="1290" w:type="dxa"/>
            <w:shd w:val="clear" w:color="auto" w:fill="auto"/>
            <w:vAlign w:val="center"/>
          </w:tcPr>
          <w:p>
            <w:pPr>
              <w:spacing w:line="320" w:lineRule="exact"/>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r>
              <w:rPr>
                <w:rFonts w:hint="eastAsia" w:ascii="仿宋_GB2312" w:hAnsi="仿宋_GB2312" w:eastAsia="仿宋_GB2312" w:cs="仿宋_GB2312"/>
                <w:b w:val="0"/>
                <w:bCs w:val="0"/>
                <w:sz w:val="24"/>
                <w:szCs w:val="24"/>
                <w:highlight w:val="none"/>
                <w:shd w:val="clear" w:color="auto" w:fill="auto"/>
                <w:vertAlign w:val="baseline"/>
                <w:lang w:val="en-US" w:eastAsia="zh-CN"/>
              </w:rPr>
              <w:t>部门正职</w:t>
            </w:r>
          </w:p>
        </w:tc>
        <w:tc>
          <w:tcPr>
            <w:tcW w:w="4110" w:type="dxa"/>
            <w:shd w:val="clear" w:color="auto" w:fill="auto"/>
            <w:vAlign w:val="center"/>
          </w:tcPr>
          <w:p>
            <w:pPr>
              <w:keepNext w:val="0"/>
              <w:keepLines w:val="0"/>
              <w:widowControl/>
              <w:numPr>
                <w:ilvl w:val="0"/>
                <w:numId w:val="1"/>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主持部门全面工作；</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负责区域公司及项目全生命周期全成本的分解及管控；</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负责区域公司及项目全生命周期投资收益率测算及管控；</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负责区域商务团队管理及体制建设；</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负责湘中南区域成本管控预警；</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负责区域所有商务经济资料的审核；</w:t>
            </w:r>
          </w:p>
          <w:p>
            <w:pPr>
              <w:keepNext w:val="0"/>
              <w:keepLines w:val="0"/>
              <w:widowControl/>
              <w:numPr>
                <w:ilvl w:val="0"/>
                <w:numId w:val="1"/>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负责区域商务工作的协调处理。</w:t>
            </w:r>
          </w:p>
        </w:tc>
        <w:tc>
          <w:tcPr>
            <w:tcW w:w="1546" w:type="dxa"/>
            <w:shd w:val="clear" w:color="auto" w:fill="auto"/>
            <w:vAlign w:val="center"/>
          </w:tcPr>
          <w:p>
            <w:pPr>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shd w:val="clear" w:color="auto" w:fill="auto"/>
            <w:vAlign w:val="center"/>
          </w:tcPr>
          <w:p>
            <w:pPr>
              <w:spacing w:line="320" w:lineRule="exact"/>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r>
              <w:rPr>
                <w:rFonts w:hint="eastAsia" w:ascii="仿宋_GB2312" w:hAnsi="仿宋_GB2312" w:eastAsia="仿宋_GB2312" w:cs="仿宋_GB2312"/>
                <w:b w:val="0"/>
                <w:bCs w:val="0"/>
                <w:sz w:val="24"/>
                <w:szCs w:val="24"/>
                <w:highlight w:val="none"/>
                <w:shd w:val="clear" w:color="auto" w:fill="auto"/>
                <w:vertAlign w:val="baseline"/>
                <w:lang w:val="en-US" w:eastAsia="zh-CN"/>
              </w:rPr>
              <w:t>土建造价管理</w:t>
            </w:r>
          </w:p>
          <w:p>
            <w:pPr>
              <w:spacing w:line="320" w:lineRule="exact"/>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r>
              <w:rPr>
                <w:rFonts w:hint="eastAsia" w:ascii="仿宋_GB2312" w:hAnsi="仿宋_GB2312" w:eastAsia="仿宋_GB2312" w:cs="仿宋_GB2312"/>
                <w:b w:val="0"/>
                <w:bCs w:val="0"/>
                <w:sz w:val="24"/>
                <w:szCs w:val="24"/>
                <w:highlight w:val="none"/>
                <w:shd w:val="clear" w:color="auto" w:fill="auto"/>
                <w:vertAlign w:val="baseline"/>
                <w:lang w:val="en-US" w:eastAsia="zh-CN"/>
              </w:rPr>
              <w:t>（3人）</w:t>
            </w:r>
          </w:p>
        </w:tc>
        <w:tc>
          <w:tcPr>
            <w:tcW w:w="1290" w:type="dxa"/>
            <w:shd w:val="clear" w:color="auto" w:fill="auto"/>
            <w:vAlign w:val="center"/>
          </w:tcPr>
          <w:p>
            <w:pPr>
              <w:spacing w:line="320" w:lineRule="exact"/>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r>
              <w:rPr>
                <w:rFonts w:hint="eastAsia" w:ascii="仿宋_GB2312" w:hAnsi="仿宋_GB2312" w:eastAsia="仿宋_GB2312" w:cs="仿宋_GB2312"/>
                <w:b w:val="0"/>
                <w:bCs w:val="0"/>
                <w:sz w:val="24"/>
                <w:szCs w:val="24"/>
                <w:highlight w:val="none"/>
                <w:shd w:val="clear" w:color="auto" w:fill="auto"/>
                <w:vertAlign w:val="baseline"/>
                <w:lang w:val="en-US" w:eastAsia="zh-CN"/>
              </w:rPr>
              <w:t>部门组长</w:t>
            </w:r>
          </w:p>
        </w:tc>
        <w:tc>
          <w:tcPr>
            <w:tcW w:w="4110" w:type="dxa"/>
            <w:shd w:val="clear" w:color="auto" w:fill="auto"/>
            <w:vAlign w:val="center"/>
          </w:tcPr>
          <w:p>
            <w:pPr>
              <w:keepNext w:val="0"/>
              <w:keepLines w:val="0"/>
              <w:widowControl/>
              <w:numPr>
                <w:ilvl w:val="0"/>
                <w:numId w:val="2"/>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负责所管项目的商务工作的指导及协调；</w:t>
            </w:r>
          </w:p>
          <w:p>
            <w:pPr>
              <w:keepNext w:val="0"/>
              <w:keepLines w:val="0"/>
              <w:widowControl/>
              <w:numPr>
                <w:ilvl w:val="0"/>
                <w:numId w:val="2"/>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负责项目的责任成本的编制及分解及动态成本的编制及审核；</w:t>
            </w:r>
          </w:p>
          <w:p>
            <w:pPr>
              <w:keepNext w:val="0"/>
              <w:keepLines w:val="0"/>
              <w:widowControl/>
              <w:numPr>
                <w:ilvl w:val="0"/>
                <w:numId w:val="2"/>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负责拿地成本测算的编制及审核；负责总包预算的审核管理；</w:t>
            </w:r>
          </w:p>
          <w:p>
            <w:pPr>
              <w:keepNext w:val="0"/>
              <w:keepLines w:val="0"/>
              <w:widowControl/>
              <w:numPr>
                <w:ilvl w:val="0"/>
                <w:numId w:val="2"/>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负责所管项目的招议标的限价的编制及审核；</w:t>
            </w:r>
          </w:p>
          <w:p>
            <w:pPr>
              <w:keepNext w:val="0"/>
              <w:keepLines w:val="0"/>
              <w:widowControl/>
              <w:numPr>
                <w:ilvl w:val="0"/>
                <w:numId w:val="2"/>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负责所管项目的结算审核及归档，</w:t>
            </w:r>
          </w:p>
          <w:p>
            <w:pPr>
              <w:keepNext w:val="0"/>
              <w:keepLines w:val="0"/>
              <w:widowControl/>
              <w:numPr>
                <w:ilvl w:val="0"/>
                <w:numId w:val="2"/>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负责所管项目的变更、签证、产值的审核。</w:t>
            </w:r>
          </w:p>
        </w:tc>
        <w:tc>
          <w:tcPr>
            <w:tcW w:w="1546" w:type="dxa"/>
            <w:shd w:val="clear" w:color="auto" w:fill="auto"/>
            <w:vAlign w:val="center"/>
          </w:tcPr>
          <w:p>
            <w:pPr>
              <w:jc w:val="center"/>
              <w:rPr>
                <w:rFonts w:hint="eastAsia" w:ascii="仿宋_GB2312" w:hAnsi="仿宋_GB2312" w:eastAsia="仿宋_GB2312" w:cs="仿宋_GB2312"/>
                <w:b w:val="0"/>
                <w:bCs w:val="0"/>
                <w:sz w:val="24"/>
                <w:szCs w:val="24"/>
                <w:highlight w:val="none"/>
                <w:shd w:val="clear" w:color="auto" w:fill="auto"/>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土建造价管理</w:t>
            </w:r>
          </w:p>
        </w:tc>
        <w:tc>
          <w:tcPr>
            <w:tcW w:w="1290"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高级经理</w:t>
            </w:r>
          </w:p>
        </w:tc>
        <w:tc>
          <w:tcPr>
            <w:tcW w:w="4110" w:type="dxa"/>
            <w:vAlign w:val="center"/>
          </w:tcPr>
          <w:p>
            <w:pPr>
              <w:keepNext w:val="0"/>
              <w:keepLines w:val="0"/>
              <w:widowControl/>
              <w:numPr>
                <w:ilvl w:val="0"/>
                <w:numId w:val="3"/>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负责区域层面组长后续的结算复审；</w:t>
            </w:r>
          </w:p>
          <w:p>
            <w:pPr>
              <w:keepNext w:val="0"/>
              <w:keepLines w:val="0"/>
              <w:widowControl/>
              <w:numPr>
                <w:ilvl w:val="0"/>
                <w:numId w:val="3"/>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负责区域结算工作管理：含土方原始测量资料的收集归档，日常预结算台帐审核及报送，预结算督办，结算归档的审核；</w:t>
            </w:r>
          </w:p>
          <w:p>
            <w:pPr>
              <w:keepNext w:val="0"/>
              <w:keepLines w:val="0"/>
              <w:widowControl/>
              <w:numPr>
                <w:ilvl w:val="0"/>
                <w:numId w:val="3"/>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负责配合营销区域抵房款工作；</w:t>
            </w:r>
          </w:p>
          <w:p>
            <w:pPr>
              <w:keepNext w:val="0"/>
              <w:keepLines w:val="0"/>
              <w:widowControl/>
              <w:numPr>
                <w:ilvl w:val="0"/>
                <w:numId w:val="3"/>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负责结算成本数据的统计管理；</w:t>
            </w:r>
          </w:p>
          <w:p>
            <w:pPr>
              <w:keepNext w:val="0"/>
              <w:keepLines w:val="0"/>
              <w:widowControl/>
              <w:numPr>
                <w:ilvl w:val="0"/>
                <w:numId w:val="3"/>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负责造价咨询单位的管理。</w:t>
            </w:r>
          </w:p>
        </w:tc>
        <w:tc>
          <w:tcPr>
            <w:tcW w:w="1546" w:type="dxa"/>
          </w:tcPr>
          <w:p>
            <w:pPr>
              <w:numPr>
                <w:ilvl w:val="0"/>
                <w:numId w:val="0"/>
              </w:numPr>
              <w:jc w:val="left"/>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bookmarkStart w:id="0" w:name="_GoBack"/>
            <w:bookmarkEnd w:id="0"/>
            <w:r>
              <w:rPr>
                <w:rFonts w:hint="eastAsia" w:ascii="仿宋_GB2312" w:hAnsi="仿宋_GB2312" w:eastAsia="仿宋_GB2312" w:cs="仿宋_GB2312"/>
                <w:b w:val="0"/>
                <w:bCs w:val="0"/>
                <w:sz w:val="24"/>
                <w:szCs w:val="24"/>
                <w:vertAlign w:val="baseline"/>
                <w:lang w:val="en-US" w:eastAsia="zh-CN"/>
              </w:rPr>
              <w:t>土建造价管理</w:t>
            </w:r>
          </w:p>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（3人）</w:t>
            </w:r>
          </w:p>
        </w:tc>
        <w:tc>
          <w:tcPr>
            <w:tcW w:w="1290"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业务经理</w:t>
            </w:r>
          </w:p>
        </w:tc>
        <w:tc>
          <w:tcPr>
            <w:tcW w:w="4110" w:type="dxa"/>
            <w:vAlign w:val="center"/>
          </w:tcPr>
          <w:p>
            <w:pPr>
              <w:keepNext w:val="0"/>
              <w:keepLines w:val="0"/>
              <w:widowControl/>
              <w:numPr>
                <w:ilvl w:val="0"/>
                <w:numId w:val="4"/>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负责配合组长编制招议标限价；</w:t>
            </w:r>
          </w:p>
          <w:p>
            <w:pPr>
              <w:keepNext w:val="0"/>
              <w:keepLines w:val="0"/>
              <w:widowControl/>
              <w:numPr>
                <w:ilvl w:val="0"/>
                <w:numId w:val="4"/>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负责配合组长进行预算及签证、结算的审核及归档；</w:t>
            </w:r>
          </w:p>
          <w:p>
            <w:pPr>
              <w:keepNext w:val="0"/>
              <w:keepLines w:val="0"/>
              <w:widowControl/>
              <w:numPr>
                <w:ilvl w:val="0"/>
                <w:numId w:val="4"/>
              </w:numPr>
              <w:suppressLineNumbers w:val="0"/>
              <w:jc w:val="left"/>
              <w:textAlignment w:val="center"/>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负责配合其它线条进行市场询价及相关标准化成本的测算及方案比选工作。</w:t>
            </w:r>
          </w:p>
        </w:tc>
        <w:tc>
          <w:tcPr>
            <w:tcW w:w="1546" w:type="dxa"/>
            <w:vAlign w:val="top"/>
          </w:tcPr>
          <w:p>
            <w:pPr>
              <w:numPr>
                <w:ilvl w:val="0"/>
                <w:numId w:val="0"/>
              </w:numPr>
              <w:ind w:left="0" w:leftChars="0" w:firstLine="0" w:firstLineChars="0"/>
              <w:jc w:val="left"/>
              <w:rPr>
                <w:rFonts w:hint="eastAsia" w:ascii="仿宋_GB2312" w:hAnsi="仿宋_GB2312" w:eastAsia="仿宋_GB2312" w:cs="仿宋_GB2312"/>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机电造价管理</w:t>
            </w:r>
          </w:p>
          <w:p>
            <w:pPr>
              <w:spacing w:line="320" w:lineRule="exact"/>
              <w:jc w:val="center"/>
              <w:rPr>
                <w:rFonts w:hint="eastAsia" w:ascii="仿宋_GB2312" w:hAnsi="仿宋_GB2312" w:eastAsia="仿宋_GB2312" w:cs="仿宋_GB2312"/>
                <w:b w:val="0"/>
                <w:bCs w:val="0"/>
                <w:sz w:val="24"/>
                <w:szCs w:val="24"/>
                <w:vertAlign w:val="baseline"/>
                <w:lang w:val="en-US" w:eastAsia="zh-CN"/>
              </w:rPr>
            </w:pPr>
          </w:p>
        </w:tc>
        <w:tc>
          <w:tcPr>
            <w:tcW w:w="1290"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高级经理</w:t>
            </w:r>
          </w:p>
        </w:tc>
        <w:tc>
          <w:tcPr>
            <w:tcW w:w="4110" w:type="dxa"/>
            <w:vAlign w:val="center"/>
          </w:tcPr>
          <w:p>
            <w:pPr>
              <w:keepNext w:val="0"/>
              <w:keepLines w:val="0"/>
              <w:widowControl/>
              <w:numPr>
                <w:ilvl w:val="0"/>
                <w:numId w:val="5"/>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负责区域所有机电类经济资料的审核及归档；</w:t>
            </w:r>
          </w:p>
          <w:p>
            <w:pPr>
              <w:keepNext w:val="0"/>
              <w:keepLines w:val="0"/>
              <w:widowControl/>
              <w:numPr>
                <w:ilvl w:val="0"/>
                <w:numId w:val="5"/>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负责区域所有机电类的拿地成本测算及方案比选；</w:t>
            </w:r>
          </w:p>
          <w:p>
            <w:pPr>
              <w:keepNext w:val="0"/>
              <w:keepLines w:val="0"/>
              <w:widowControl/>
              <w:numPr>
                <w:ilvl w:val="0"/>
                <w:numId w:val="5"/>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负责区域所有机电类市场询价.招议标限价的编制及审核；</w:t>
            </w:r>
          </w:p>
          <w:p>
            <w:pPr>
              <w:keepNext w:val="0"/>
              <w:keepLines w:val="0"/>
              <w:widowControl/>
              <w:numPr>
                <w:ilvl w:val="0"/>
                <w:numId w:val="5"/>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负责区域所有项目机电部分的责任成本及动态成本编制及审核；</w:t>
            </w:r>
          </w:p>
          <w:p>
            <w:pPr>
              <w:keepNext w:val="0"/>
              <w:keepLines w:val="0"/>
              <w:widowControl/>
              <w:numPr>
                <w:ilvl w:val="0"/>
                <w:numId w:val="5"/>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协助造价咨询单位的管理。</w:t>
            </w:r>
          </w:p>
        </w:tc>
        <w:tc>
          <w:tcPr>
            <w:tcW w:w="1546" w:type="dxa"/>
          </w:tcPr>
          <w:p>
            <w:pPr>
              <w:numPr>
                <w:ilvl w:val="0"/>
                <w:numId w:val="0"/>
              </w:numPr>
              <w:jc w:val="left"/>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机电造价管理</w:t>
            </w:r>
          </w:p>
          <w:p>
            <w:pPr>
              <w:spacing w:line="320" w:lineRule="exact"/>
              <w:jc w:val="center"/>
              <w:rPr>
                <w:rFonts w:hint="default"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（2人）</w:t>
            </w:r>
          </w:p>
        </w:tc>
        <w:tc>
          <w:tcPr>
            <w:tcW w:w="1290"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业务经理</w:t>
            </w:r>
          </w:p>
        </w:tc>
        <w:tc>
          <w:tcPr>
            <w:tcW w:w="4110" w:type="dxa"/>
            <w:vAlign w:val="center"/>
          </w:tcPr>
          <w:p>
            <w:pPr>
              <w:keepNext w:val="0"/>
              <w:keepLines w:val="0"/>
              <w:widowControl/>
              <w:numPr>
                <w:ilvl w:val="0"/>
                <w:numId w:val="6"/>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负责区域所管项目的机电类经济资料的审核及归档；</w:t>
            </w:r>
          </w:p>
          <w:p>
            <w:pPr>
              <w:keepNext w:val="0"/>
              <w:keepLines w:val="0"/>
              <w:widowControl/>
              <w:numPr>
                <w:ilvl w:val="0"/>
                <w:numId w:val="6"/>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负责区域所管项目机电类市场询价.招议标限价的编制及审核；</w:t>
            </w:r>
          </w:p>
          <w:p>
            <w:pPr>
              <w:keepNext w:val="0"/>
              <w:keepLines w:val="0"/>
              <w:widowControl/>
              <w:numPr>
                <w:ilvl w:val="0"/>
                <w:numId w:val="6"/>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负责区域所管项目机电部分的责任成本及动态成本编制。</w:t>
            </w:r>
          </w:p>
        </w:tc>
        <w:tc>
          <w:tcPr>
            <w:tcW w:w="1546" w:type="dxa"/>
          </w:tcPr>
          <w:p>
            <w:pPr>
              <w:numPr>
                <w:ilvl w:val="0"/>
                <w:numId w:val="0"/>
              </w:numPr>
              <w:jc w:val="left"/>
              <w:rPr>
                <w:rFonts w:hint="eastAsia" w:ascii="仿宋_GB2312" w:hAnsi="仿宋_GB2312" w:eastAsia="仿宋_GB2312" w:cs="仿宋_GB2312"/>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4"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成本管理</w:t>
            </w:r>
          </w:p>
        </w:tc>
        <w:tc>
          <w:tcPr>
            <w:tcW w:w="1290" w:type="dxa"/>
            <w:vAlign w:val="center"/>
          </w:tcPr>
          <w:p>
            <w:pPr>
              <w:spacing w:line="320" w:lineRule="exact"/>
              <w:jc w:val="center"/>
              <w:rPr>
                <w:rFonts w:hint="eastAsia" w:ascii="仿宋_GB2312" w:hAnsi="仿宋_GB2312" w:eastAsia="仿宋_GB2312" w:cs="仿宋_GB2312"/>
                <w:b w:val="0"/>
                <w:bCs w:val="0"/>
                <w:sz w:val="24"/>
                <w:szCs w:val="24"/>
                <w:vertAlign w:val="baseline"/>
                <w:lang w:val="en-US" w:eastAsia="zh-CN"/>
              </w:rPr>
            </w:pPr>
            <w:r>
              <w:rPr>
                <w:rFonts w:hint="eastAsia" w:ascii="仿宋_GB2312" w:hAnsi="仿宋_GB2312" w:eastAsia="仿宋_GB2312" w:cs="仿宋_GB2312"/>
                <w:b w:val="0"/>
                <w:bCs w:val="0"/>
                <w:sz w:val="24"/>
                <w:szCs w:val="24"/>
                <w:vertAlign w:val="baseline"/>
                <w:lang w:val="en-US" w:eastAsia="zh-CN"/>
              </w:rPr>
              <w:t>业务经理</w:t>
            </w:r>
          </w:p>
        </w:tc>
        <w:tc>
          <w:tcPr>
            <w:tcW w:w="4110" w:type="dxa"/>
            <w:vAlign w:val="center"/>
          </w:tcPr>
          <w:p>
            <w:pPr>
              <w:keepNext w:val="0"/>
              <w:keepLines w:val="0"/>
              <w:widowControl/>
              <w:numPr>
                <w:ilvl w:val="0"/>
                <w:numId w:val="7"/>
              </w:numPr>
              <w:suppressLineNumbers w:val="0"/>
              <w:jc w:val="left"/>
              <w:textAlignment w:val="center"/>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负责按公司要求完善成本数据库；</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负责季度动态成本分析会的数据整合，并做好分析会PPT；</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负责组织区域季度动态成本分析会，并做好会议纪要；</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负责每周更新招议标限价台帐及资料归档；</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负责区域成本报表的报送（含季度动态成本、降本增效等等）;</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配合设计营销运营线条进行相关标准化成本数据的测算；</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协助组长，联动区域投资进行拿地测算；</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负责全区域所有项目成本信息化上线及上线日常问题沟通协调；</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负责区域商务内务工作，含考勤及办公用品的购买等；</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负责配合组长进行市场询价.招议标限价的编制及询价及结算的审核；</w:t>
            </w:r>
          </w:p>
          <w:p>
            <w:pPr>
              <w:keepNext w:val="0"/>
              <w:keepLines w:val="0"/>
              <w:widowControl/>
              <w:numPr>
                <w:ilvl w:val="0"/>
                <w:numId w:val="7"/>
              </w:numPr>
              <w:suppressLineNumbers w:val="0"/>
              <w:jc w:val="left"/>
              <w:textAlignment w:val="center"/>
              <w:rPr>
                <w:rFonts w:hint="eastAsia" w:ascii="仿宋_GB2312" w:hAnsi="宋体" w:eastAsia="仿宋_GB2312" w:cs="仿宋_GB2312"/>
                <w:i w:val="0"/>
                <w:color w:val="000000"/>
                <w:kern w:val="2"/>
                <w:sz w:val="22"/>
                <w:szCs w:val="22"/>
                <w:u w:val="none"/>
                <w:lang w:val="en-US" w:eastAsia="zh-CN" w:bidi="ar-SA"/>
              </w:rPr>
            </w:pPr>
            <w:r>
              <w:rPr>
                <w:rFonts w:hint="default" w:ascii="仿宋_GB2312" w:hAnsi="仿宋_GB2312" w:eastAsia="仿宋_GB2312" w:cs="仿宋_GB2312"/>
                <w:sz w:val="24"/>
                <w:szCs w:val="24"/>
                <w:lang w:val="en-US" w:eastAsia="zh-CN"/>
              </w:rPr>
              <w:t>负责区域各地市场价格及当地政策法规的调查更新制表。</w:t>
            </w:r>
          </w:p>
        </w:tc>
        <w:tc>
          <w:tcPr>
            <w:tcW w:w="1546" w:type="dxa"/>
          </w:tcPr>
          <w:p>
            <w:pPr>
              <w:numPr>
                <w:ilvl w:val="0"/>
                <w:numId w:val="0"/>
              </w:numPr>
              <w:jc w:val="left"/>
              <w:rPr>
                <w:rFonts w:hint="eastAsia" w:ascii="仿宋_GB2312" w:hAnsi="仿宋_GB2312" w:eastAsia="仿宋_GB2312" w:cs="仿宋_GB2312"/>
                <w:b w:val="0"/>
                <w:bCs w:val="0"/>
                <w:sz w:val="24"/>
                <w:szCs w:val="24"/>
                <w:vertAlign w:val="baseline"/>
                <w:lang w:val="en-US" w:eastAsia="zh-CN"/>
              </w:rPr>
            </w:pPr>
          </w:p>
        </w:tc>
      </w:tr>
    </w:tbl>
    <w:p>
      <w:pPr>
        <w:jc w:val="center"/>
        <w:rPr>
          <w:rFonts w:hint="eastAsia" w:ascii="仿宋_GB2312" w:hAnsi="仿宋_GB2312" w:eastAsia="仿宋_GB2312" w:cs="仿宋_GB2312"/>
          <w:sz w:val="24"/>
          <w:szCs w:val="24"/>
        </w:rPr>
      </w:pPr>
    </w:p>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852D0"/>
    <w:multiLevelType w:val="singleLevel"/>
    <w:tmpl w:val="885852D0"/>
    <w:lvl w:ilvl="0" w:tentative="0">
      <w:start w:val="1"/>
      <w:numFmt w:val="decimal"/>
      <w:lvlText w:val="%1."/>
      <w:lvlJc w:val="left"/>
      <w:pPr>
        <w:tabs>
          <w:tab w:val="left" w:pos="312"/>
        </w:tabs>
      </w:pPr>
    </w:lvl>
  </w:abstractNum>
  <w:abstractNum w:abstractNumId="1">
    <w:nsid w:val="BCC8E917"/>
    <w:multiLevelType w:val="singleLevel"/>
    <w:tmpl w:val="BCC8E917"/>
    <w:lvl w:ilvl="0" w:tentative="0">
      <w:start w:val="1"/>
      <w:numFmt w:val="decimal"/>
      <w:lvlText w:val="%1."/>
      <w:lvlJc w:val="left"/>
      <w:pPr>
        <w:tabs>
          <w:tab w:val="left" w:pos="312"/>
        </w:tabs>
      </w:pPr>
    </w:lvl>
  </w:abstractNum>
  <w:abstractNum w:abstractNumId="2">
    <w:nsid w:val="CF19FF64"/>
    <w:multiLevelType w:val="singleLevel"/>
    <w:tmpl w:val="CF19FF64"/>
    <w:lvl w:ilvl="0" w:tentative="0">
      <w:start w:val="1"/>
      <w:numFmt w:val="decimal"/>
      <w:lvlText w:val="%1."/>
      <w:lvlJc w:val="left"/>
      <w:pPr>
        <w:tabs>
          <w:tab w:val="left" w:pos="312"/>
        </w:tabs>
      </w:pPr>
    </w:lvl>
  </w:abstractNum>
  <w:abstractNum w:abstractNumId="3">
    <w:nsid w:val="D82D8D0D"/>
    <w:multiLevelType w:val="singleLevel"/>
    <w:tmpl w:val="D82D8D0D"/>
    <w:lvl w:ilvl="0" w:tentative="0">
      <w:start w:val="1"/>
      <w:numFmt w:val="decimal"/>
      <w:lvlText w:val="%1."/>
      <w:lvlJc w:val="left"/>
      <w:pPr>
        <w:tabs>
          <w:tab w:val="left" w:pos="312"/>
        </w:tabs>
      </w:pPr>
    </w:lvl>
  </w:abstractNum>
  <w:abstractNum w:abstractNumId="4">
    <w:nsid w:val="202932B3"/>
    <w:multiLevelType w:val="singleLevel"/>
    <w:tmpl w:val="202932B3"/>
    <w:lvl w:ilvl="0" w:tentative="0">
      <w:start w:val="1"/>
      <w:numFmt w:val="decimal"/>
      <w:lvlText w:val="%1."/>
      <w:lvlJc w:val="left"/>
      <w:pPr>
        <w:tabs>
          <w:tab w:val="left" w:pos="312"/>
        </w:tabs>
      </w:pPr>
    </w:lvl>
  </w:abstractNum>
  <w:abstractNum w:abstractNumId="5">
    <w:nsid w:val="42C9BA0C"/>
    <w:multiLevelType w:val="singleLevel"/>
    <w:tmpl w:val="42C9BA0C"/>
    <w:lvl w:ilvl="0" w:tentative="0">
      <w:start w:val="1"/>
      <w:numFmt w:val="decimal"/>
      <w:lvlText w:val="%1."/>
      <w:lvlJc w:val="left"/>
      <w:pPr>
        <w:tabs>
          <w:tab w:val="left" w:pos="312"/>
        </w:tabs>
      </w:pPr>
    </w:lvl>
  </w:abstractNum>
  <w:abstractNum w:abstractNumId="6">
    <w:nsid w:val="4DD49927"/>
    <w:multiLevelType w:val="singleLevel"/>
    <w:tmpl w:val="4DD49927"/>
    <w:lvl w:ilvl="0" w:tentative="0">
      <w:start w:val="1"/>
      <w:numFmt w:val="decimal"/>
      <w:lvlText w:val="%1."/>
      <w:lvlJc w:val="left"/>
      <w:pPr>
        <w:tabs>
          <w:tab w:val="left" w:pos="312"/>
        </w:tabs>
      </w:pPr>
    </w:lvl>
  </w:abstractNum>
  <w:num w:numId="1">
    <w:abstractNumId w:val="2"/>
  </w:num>
  <w:num w:numId="2">
    <w:abstractNumId w:val="4"/>
  </w:num>
  <w:num w:numId="3">
    <w:abstractNumId w:val="0"/>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B14FD2"/>
    <w:rsid w:val="0028507F"/>
    <w:rsid w:val="00337A7D"/>
    <w:rsid w:val="02E72FB3"/>
    <w:rsid w:val="03A76005"/>
    <w:rsid w:val="03E621C5"/>
    <w:rsid w:val="05B905CE"/>
    <w:rsid w:val="08712933"/>
    <w:rsid w:val="089E3D2B"/>
    <w:rsid w:val="0A247759"/>
    <w:rsid w:val="0BDF7FF2"/>
    <w:rsid w:val="0D067C59"/>
    <w:rsid w:val="0D387D33"/>
    <w:rsid w:val="0DC62EBD"/>
    <w:rsid w:val="0DD13F48"/>
    <w:rsid w:val="0E074F4B"/>
    <w:rsid w:val="0FCA1E91"/>
    <w:rsid w:val="106060C6"/>
    <w:rsid w:val="10722EE3"/>
    <w:rsid w:val="13DB7321"/>
    <w:rsid w:val="14BD10A6"/>
    <w:rsid w:val="15825107"/>
    <w:rsid w:val="15AB3F99"/>
    <w:rsid w:val="161D3E00"/>
    <w:rsid w:val="163B0FB4"/>
    <w:rsid w:val="17982D0B"/>
    <w:rsid w:val="18736CB2"/>
    <w:rsid w:val="18C4439D"/>
    <w:rsid w:val="199C0B82"/>
    <w:rsid w:val="1A5A5071"/>
    <w:rsid w:val="1B1E4BB8"/>
    <w:rsid w:val="1D5303F7"/>
    <w:rsid w:val="1DE5718E"/>
    <w:rsid w:val="23012F10"/>
    <w:rsid w:val="23CF46A5"/>
    <w:rsid w:val="24257E9B"/>
    <w:rsid w:val="243F681E"/>
    <w:rsid w:val="24AC40DA"/>
    <w:rsid w:val="24D36353"/>
    <w:rsid w:val="262E0779"/>
    <w:rsid w:val="2667190E"/>
    <w:rsid w:val="267B3AD4"/>
    <w:rsid w:val="268221F5"/>
    <w:rsid w:val="26D558BC"/>
    <w:rsid w:val="27194AE3"/>
    <w:rsid w:val="272D6F32"/>
    <w:rsid w:val="27475CEC"/>
    <w:rsid w:val="27AA3C97"/>
    <w:rsid w:val="28714B7C"/>
    <w:rsid w:val="29133994"/>
    <w:rsid w:val="296E10BD"/>
    <w:rsid w:val="2AB56F65"/>
    <w:rsid w:val="2C5D4504"/>
    <w:rsid w:val="2CB14FD2"/>
    <w:rsid w:val="2F1A14F9"/>
    <w:rsid w:val="30AC31EE"/>
    <w:rsid w:val="32DF0549"/>
    <w:rsid w:val="335C6CA0"/>
    <w:rsid w:val="33EB0D31"/>
    <w:rsid w:val="34FA4B39"/>
    <w:rsid w:val="353405DF"/>
    <w:rsid w:val="366B7D18"/>
    <w:rsid w:val="368742AE"/>
    <w:rsid w:val="36A808B9"/>
    <w:rsid w:val="36E4097C"/>
    <w:rsid w:val="37E25861"/>
    <w:rsid w:val="38F01E68"/>
    <w:rsid w:val="39277FE3"/>
    <w:rsid w:val="39D35B97"/>
    <w:rsid w:val="39E81873"/>
    <w:rsid w:val="3AD177FA"/>
    <w:rsid w:val="3BA82938"/>
    <w:rsid w:val="41164ED5"/>
    <w:rsid w:val="41F044DA"/>
    <w:rsid w:val="42182EF5"/>
    <w:rsid w:val="4307172E"/>
    <w:rsid w:val="431B7A7E"/>
    <w:rsid w:val="441D7038"/>
    <w:rsid w:val="4447277F"/>
    <w:rsid w:val="446C377E"/>
    <w:rsid w:val="44AA29B1"/>
    <w:rsid w:val="45985037"/>
    <w:rsid w:val="461922B2"/>
    <w:rsid w:val="46B567AC"/>
    <w:rsid w:val="47150EE1"/>
    <w:rsid w:val="475B3CE1"/>
    <w:rsid w:val="475F213D"/>
    <w:rsid w:val="48A07BD1"/>
    <w:rsid w:val="48AC1DF7"/>
    <w:rsid w:val="494810FA"/>
    <w:rsid w:val="499B0D37"/>
    <w:rsid w:val="4A222878"/>
    <w:rsid w:val="4A2E64F1"/>
    <w:rsid w:val="4A995892"/>
    <w:rsid w:val="4BED36A5"/>
    <w:rsid w:val="4BF809FA"/>
    <w:rsid w:val="4C8D052F"/>
    <w:rsid w:val="4D704C00"/>
    <w:rsid w:val="4DD8517C"/>
    <w:rsid w:val="4DE9471C"/>
    <w:rsid w:val="4E5F44BA"/>
    <w:rsid w:val="4EC773CC"/>
    <w:rsid w:val="4FAA2AFF"/>
    <w:rsid w:val="503432CE"/>
    <w:rsid w:val="503B63F9"/>
    <w:rsid w:val="50A370A2"/>
    <w:rsid w:val="518D3C08"/>
    <w:rsid w:val="51A45090"/>
    <w:rsid w:val="51B52AA6"/>
    <w:rsid w:val="51E94FFB"/>
    <w:rsid w:val="537F67A6"/>
    <w:rsid w:val="53F107EC"/>
    <w:rsid w:val="549D78D2"/>
    <w:rsid w:val="55364645"/>
    <w:rsid w:val="5598394E"/>
    <w:rsid w:val="55C23850"/>
    <w:rsid w:val="56675A91"/>
    <w:rsid w:val="56A1001C"/>
    <w:rsid w:val="57A82C2F"/>
    <w:rsid w:val="57C70547"/>
    <w:rsid w:val="598F3BD0"/>
    <w:rsid w:val="59DB40FF"/>
    <w:rsid w:val="5A037C16"/>
    <w:rsid w:val="5AB94B33"/>
    <w:rsid w:val="5AC81244"/>
    <w:rsid w:val="5D1F3DD5"/>
    <w:rsid w:val="5D243CCA"/>
    <w:rsid w:val="5DFF75B1"/>
    <w:rsid w:val="5E9B6180"/>
    <w:rsid w:val="5FA20995"/>
    <w:rsid w:val="61532856"/>
    <w:rsid w:val="619E06A0"/>
    <w:rsid w:val="61C12991"/>
    <w:rsid w:val="6272388E"/>
    <w:rsid w:val="62D5375B"/>
    <w:rsid w:val="6470620E"/>
    <w:rsid w:val="653C695A"/>
    <w:rsid w:val="656648F7"/>
    <w:rsid w:val="65C00C65"/>
    <w:rsid w:val="65E75666"/>
    <w:rsid w:val="665F196F"/>
    <w:rsid w:val="6768245E"/>
    <w:rsid w:val="69183AF7"/>
    <w:rsid w:val="69641A85"/>
    <w:rsid w:val="69984E7F"/>
    <w:rsid w:val="699E71C6"/>
    <w:rsid w:val="69AB0467"/>
    <w:rsid w:val="69AE7493"/>
    <w:rsid w:val="69D274A3"/>
    <w:rsid w:val="6A3F072F"/>
    <w:rsid w:val="6AD56183"/>
    <w:rsid w:val="6BD927E0"/>
    <w:rsid w:val="6CB43C2C"/>
    <w:rsid w:val="6CBB3D75"/>
    <w:rsid w:val="6D830CD0"/>
    <w:rsid w:val="712F1C3B"/>
    <w:rsid w:val="71382093"/>
    <w:rsid w:val="729A53DA"/>
    <w:rsid w:val="73C7456D"/>
    <w:rsid w:val="75D46F82"/>
    <w:rsid w:val="760764C5"/>
    <w:rsid w:val="766847D5"/>
    <w:rsid w:val="76753E38"/>
    <w:rsid w:val="773815DD"/>
    <w:rsid w:val="77C60907"/>
    <w:rsid w:val="77EB77E7"/>
    <w:rsid w:val="77FD312A"/>
    <w:rsid w:val="793E27F9"/>
    <w:rsid w:val="7B570952"/>
    <w:rsid w:val="7C400D1F"/>
    <w:rsid w:val="7D08658C"/>
    <w:rsid w:val="7DE5169E"/>
    <w:rsid w:val="7F0E3D2A"/>
    <w:rsid w:val="7F63297F"/>
    <w:rsid w:val="7F8E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jc w:val="left"/>
    </w:pPr>
    <w:rPr>
      <w:rFonts w:hint="eastAsia" w:ascii="微软雅黑" w:hAnsi="微软雅黑" w:eastAsia="微软雅黑" w:cs="Times New Roman"/>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_Style 1"/>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2020-03-05T01:21:00Z</dcterms:created>
  <dc:creator>廖桓嘉</dc:creator>
  <cp:lastModifiedBy>Apriori</cp:lastModifiedBy>
  <cp:lastPrinted>2020-03-05T07:59:00Z</cp:lastPrinted>
  <dcterms:modified xsi:type="dcterms:W3CDTF">2020-06-04T09:38:49Z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