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黑体" w:cs="仿宋"/>
          <w:b/>
          <w:bCs/>
          <w:sz w:val="24"/>
        </w:rPr>
      </w:pPr>
      <w:r>
        <w:rPr>
          <w:rFonts w:hint="eastAsia" w:ascii="黑体" w:hAnsi="黑体" w:eastAsia="黑体" w:cs="黑体"/>
          <w:b/>
          <w:bCs/>
          <w:sz w:val="36"/>
          <w:szCs w:val="36"/>
          <w:lang w:val="en-US" w:eastAsia="zh-CN"/>
        </w:rPr>
        <w:t>商务</w:t>
      </w:r>
      <w:r>
        <w:rPr>
          <w:rFonts w:hint="eastAsia" w:ascii="黑体" w:hAnsi="黑体" w:eastAsia="黑体" w:cs="黑体"/>
          <w:b/>
          <w:bCs/>
          <w:sz w:val="36"/>
          <w:szCs w:val="36"/>
        </w:rPr>
        <w:t>部竞聘岗位及岗位职责</w:t>
      </w:r>
    </w:p>
    <w:tbl>
      <w:tblPr>
        <w:tblStyle w:val="7"/>
        <w:tblW w:w="8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323"/>
        <w:gridCol w:w="4356"/>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242" w:type="dxa"/>
            <w:shd w:val="clear" w:color="auto" w:fill="D7D7D7" w:themeFill="background1" w:themeFillShade="D8"/>
            <w:vAlign w:val="center"/>
          </w:tcPr>
          <w:p>
            <w:pPr>
              <w:jc w:val="center"/>
              <w:rPr>
                <w:rFonts w:ascii="仿宋" w:hAnsi="仿宋" w:eastAsia="仿宋" w:cs="仿宋"/>
                <w:b/>
                <w:bCs/>
                <w:sz w:val="24"/>
              </w:rPr>
            </w:pPr>
            <w:r>
              <w:rPr>
                <w:rFonts w:hint="eastAsia" w:ascii="仿宋" w:hAnsi="仿宋" w:eastAsia="仿宋" w:cs="仿宋"/>
                <w:b/>
                <w:bCs/>
                <w:sz w:val="24"/>
              </w:rPr>
              <w:t>岗位名称</w:t>
            </w:r>
          </w:p>
        </w:tc>
        <w:tc>
          <w:tcPr>
            <w:tcW w:w="1323" w:type="dxa"/>
            <w:shd w:val="clear" w:color="auto" w:fill="D7D7D7" w:themeFill="background1" w:themeFillShade="D8"/>
            <w:vAlign w:val="center"/>
          </w:tcPr>
          <w:p>
            <w:pPr>
              <w:jc w:val="center"/>
              <w:rPr>
                <w:rFonts w:asciiTheme="minorHAnsi" w:hAnsiTheme="minorHAnsi" w:eastAsiaTheme="minorEastAsia" w:cstheme="minorBidi"/>
                <w:b/>
                <w:bCs/>
                <w:color w:val="000000" w:themeColor="text1"/>
                <w:sz w:val="24"/>
                <w14:textFill>
                  <w14:solidFill>
                    <w14:schemeClr w14:val="tx1"/>
                  </w14:solidFill>
                </w14:textFill>
              </w:rPr>
            </w:pPr>
            <w:r>
              <w:rPr>
                <w:rFonts w:hint="eastAsia" w:ascii="仿宋" w:hAnsi="仿宋" w:eastAsia="仿宋" w:cs="仿宋"/>
                <w:b/>
                <w:bCs/>
                <w:sz w:val="24"/>
              </w:rPr>
              <w:t>岗位级别</w:t>
            </w:r>
          </w:p>
        </w:tc>
        <w:tc>
          <w:tcPr>
            <w:tcW w:w="4356" w:type="dxa"/>
            <w:shd w:val="clear" w:color="auto" w:fill="D7D7D7" w:themeFill="background1" w:themeFillShade="D8"/>
            <w:vAlign w:val="center"/>
          </w:tcPr>
          <w:p>
            <w:pPr>
              <w:jc w:val="center"/>
              <w:rPr>
                <w:rFonts w:ascii="仿宋" w:hAnsi="仿宋" w:eastAsia="仿宋" w:cs="仿宋"/>
                <w:b/>
                <w:bCs/>
                <w:sz w:val="24"/>
              </w:rPr>
            </w:pPr>
            <w:r>
              <w:rPr>
                <w:rFonts w:hint="eastAsia" w:ascii="仿宋" w:hAnsi="仿宋" w:eastAsia="仿宋" w:cs="仿宋"/>
                <w:b/>
                <w:bCs/>
                <w:sz w:val="24"/>
              </w:rPr>
              <w:t>主要岗位职责</w:t>
            </w:r>
          </w:p>
        </w:tc>
        <w:tc>
          <w:tcPr>
            <w:tcW w:w="1603" w:type="dxa"/>
            <w:shd w:val="clear" w:color="auto" w:fill="D7D7D7" w:themeFill="background1" w:themeFillShade="D8"/>
            <w:vAlign w:val="center"/>
          </w:tcPr>
          <w:p>
            <w:pPr>
              <w:jc w:val="center"/>
              <w:rPr>
                <w:rFonts w:ascii="仿宋" w:hAnsi="仿宋" w:eastAsia="仿宋" w:cs="仿宋"/>
                <w:b/>
                <w:bCs/>
                <w:sz w:val="24"/>
              </w:rPr>
            </w:pPr>
            <w:r>
              <w:rPr>
                <w:rFonts w:hint="eastAsia" w:ascii="仿宋" w:hAnsi="仿宋" w:eastAsia="仿宋" w:cs="仿宋"/>
                <w:b/>
                <w:bCs/>
                <w:sz w:val="24"/>
              </w:rPr>
              <w:t>基本任职资格以外要求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242" w:type="dxa"/>
            <w:shd w:val="clear" w:color="auto" w:fill="auto"/>
            <w:vAlign w:val="center"/>
          </w:tcPr>
          <w:p>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经理</w:t>
            </w:r>
          </w:p>
        </w:tc>
        <w:tc>
          <w:tcPr>
            <w:tcW w:w="1323" w:type="dxa"/>
            <w:shd w:val="clear" w:color="auto" w:fill="auto"/>
            <w:vAlign w:val="center"/>
          </w:tcPr>
          <w:p>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部门正职</w:t>
            </w:r>
          </w:p>
        </w:tc>
        <w:tc>
          <w:tcPr>
            <w:tcW w:w="4356" w:type="dxa"/>
            <w:shd w:val="clear" w:color="auto" w:fill="auto"/>
          </w:tcPr>
          <w:p>
            <w:pPr>
              <w:numPr>
                <w:ilvl w:val="0"/>
                <w:numId w:val="1"/>
              </w:num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主持商务部全面工作；</w:t>
            </w:r>
          </w:p>
          <w:p>
            <w:pPr>
              <w:numPr>
                <w:ilvl w:val="0"/>
                <w:numId w:val="1"/>
              </w:numPr>
              <w:spacing w:line="320" w:lineRule="exact"/>
              <w:ind w:right="-59" w:rightChars="-28"/>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按线条要求完善区域体系建设（线条工作思路、检查与监督、团队建设等</w:t>
            </w:r>
            <w:r>
              <w:rPr>
                <w:rFonts w:hint="eastAsia" w:ascii="仿宋_GB2312" w:hAnsi="仿宋_GB2312" w:eastAsia="仿宋_GB2312" w:cs="仿宋_GB2312"/>
                <w:sz w:val="24"/>
                <w:lang w:eastAsia="zh-CN"/>
              </w:rPr>
              <w:t>；</w:t>
            </w:r>
          </w:p>
          <w:p>
            <w:pPr>
              <w:numPr>
                <w:ilvl w:val="0"/>
                <w:numId w:val="1"/>
              </w:numPr>
              <w:spacing w:line="320" w:lineRule="exact"/>
              <w:ind w:right="-59" w:rightChars="-28"/>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负责区域公司及项目全生命周期全成本的分解及管控和投资收益率测算及管控；</w:t>
            </w:r>
          </w:p>
          <w:p>
            <w:pPr>
              <w:numPr>
                <w:ilvl w:val="0"/>
                <w:numId w:val="1"/>
              </w:numPr>
              <w:spacing w:line="32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负责拿地测算成本审核；</w:t>
            </w:r>
          </w:p>
          <w:p>
            <w:pPr>
              <w:numPr>
                <w:ilvl w:val="0"/>
                <w:numId w:val="1"/>
              </w:numPr>
              <w:spacing w:line="32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负责土建和安装造价的审核；</w:t>
            </w:r>
          </w:p>
          <w:p>
            <w:pPr>
              <w:numPr>
                <w:ilvl w:val="0"/>
                <w:numId w:val="1"/>
              </w:numPr>
              <w:spacing w:line="320" w:lineRule="exact"/>
              <w:jc w:val="left"/>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负责区域招采管理、法务管理等工作。</w:t>
            </w:r>
          </w:p>
        </w:tc>
        <w:tc>
          <w:tcPr>
            <w:tcW w:w="1603" w:type="dxa"/>
            <w:shd w:val="clear" w:color="auto" w:fill="auto"/>
            <w:vAlign w:val="center"/>
          </w:tcPr>
          <w:p>
            <w:pPr>
              <w:spacing w:line="320"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242" w:type="dxa"/>
            <w:shd w:val="clear" w:color="auto" w:fill="auto"/>
            <w:vAlign w:val="center"/>
          </w:tcPr>
          <w:p>
            <w:pPr>
              <w:spacing w:line="32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副经理</w:t>
            </w:r>
          </w:p>
        </w:tc>
        <w:tc>
          <w:tcPr>
            <w:tcW w:w="1323" w:type="dxa"/>
            <w:shd w:val="clear" w:color="auto" w:fill="auto"/>
            <w:vAlign w:val="center"/>
          </w:tcPr>
          <w:p>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部门副职</w:t>
            </w:r>
          </w:p>
        </w:tc>
        <w:tc>
          <w:tcPr>
            <w:tcW w:w="4356" w:type="dxa"/>
            <w:shd w:val="clear" w:color="auto" w:fill="auto"/>
          </w:tcPr>
          <w:p>
            <w:pPr>
              <w:numPr>
                <w:ilvl w:val="0"/>
                <w:numId w:val="2"/>
              </w:num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协助部门经理负责招采工作；</w:t>
            </w:r>
          </w:p>
          <w:p>
            <w:pPr>
              <w:numPr>
                <w:ilvl w:val="0"/>
                <w:numId w:val="2"/>
              </w:num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负责建立区域招采管理各项细则；</w:t>
            </w:r>
          </w:p>
          <w:p>
            <w:pPr>
              <w:numPr>
                <w:ilvl w:val="0"/>
                <w:numId w:val="2"/>
              </w:num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牵头建立区域招采标准体系；</w:t>
            </w:r>
          </w:p>
          <w:p>
            <w:pPr>
              <w:numPr>
                <w:ilvl w:val="0"/>
                <w:numId w:val="2"/>
              </w:num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履职一岗双责；</w:t>
            </w:r>
          </w:p>
          <w:p>
            <w:pPr>
              <w:numPr>
                <w:ilvl w:val="0"/>
                <w:numId w:val="2"/>
              </w:num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组织招采培训，建设招采团队；</w:t>
            </w:r>
          </w:p>
          <w:p>
            <w:pPr>
              <w:numPr>
                <w:ilvl w:val="0"/>
                <w:numId w:val="2"/>
              </w:num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负责区域集中采购工作。</w:t>
            </w:r>
          </w:p>
        </w:tc>
        <w:tc>
          <w:tcPr>
            <w:tcW w:w="1603" w:type="dxa"/>
            <w:shd w:val="clear" w:color="auto" w:fill="auto"/>
            <w:vAlign w:val="center"/>
          </w:tcPr>
          <w:p>
            <w:pPr>
              <w:spacing w:line="320" w:lineRule="exact"/>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242" w:type="dxa"/>
            <w:vAlign w:val="center"/>
          </w:tcPr>
          <w:p>
            <w:pPr>
              <w:spacing w:line="3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rPr>
              <w:t>成本管理</w:t>
            </w:r>
          </w:p>
        </w:tc>
        <w:tc>
          <w:tcPr>
            <w:tcW w:w="1323" w:type="dxa"/>
            <w:vAlign w:val="center"/>
          </w:tcPr>
          <w:p>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lang w:val="en-US" w:eastAsia="zh-CN"/>
              </w:rPr>
              <w:t>高级</w:t>
            </w:r>
            <w:r>
              <w:rPr>
                <w:rFonts w:hint="eastAsia" w:ascii="仿宋_GB2312" w:hAnsi="仿宋_GB2312" w:eastAsia="仿宋_GB2312" w:cs="仿宋_GB2312"/>
                <w:sz w:val="24"/>
              </w:rPr>
              <w:t>经理</w:t>
            </w:r>
          </w:p>
        </w:tc>
        <w:tc>
          <w:tcPr>
            <w:tcW w:w="4356" w:type="dxa"/>
          </w:tcPr>
          <w:p>
            <w:pPr>
              <w:numPr>
                <w:ilvl w:val="0"/>
                <w:numId w:val="3"/>
              </w:num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负责项目及时分解责任成本；</w:t>
            </w:r>
          </w:p>
          <w:p>
            <w:pPr>
              <w:numPr>
                <w:ilvl w:val="0"/>
                <w:numId w:val="3"/>
              </w:num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过程服务、指导按巡视巡察要求落实好各项目的成本分析，及时审核季度动态成本并做好预控；</w:t>
            </w:r>
          </w:p>
          <w:p>
            <w:pPr>
              <w:numPr>
                <w:ilvl w:val="0"/>
                <w:numId w:val="3"/>
              </w:num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联动投资负责做好地块前期测算；</w:t>
            </w:r>
          </w:p>
          <w:p>
            <w:pPr>
              <w:numPr>
                <w:ilvl w:val="0"/>
                <w:numId w:val="3"/>
              </w:num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负责成本数据库的管控，包括土建、机电、园林、精装数据库。</w:t>
            </w:r>
          </w:p>
        </w:tc>
        <w:tc>
          <w:tcPr>
            <w:tcW w:w="1603" w:type="dxa"/>
          </w:tcPr>
          <w:p>
            <w:pPr>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242" w:type="dxa"/>
            <w:vAlign w:val="center"/>
          </w:tcPr>
          <w:p>
            <w:pPr>
              <w:spacing w:line="3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rPr>
              <w:t>土建造价</w:t>
            </w:r>
          </w:p>
        </w:tc>
        <w:tc>
          <w:tcPr>
            <w:tcW w:w="1323" w:type="dxa"/>
            <w:vAlign w:val="center"/>
          </w:tcPr>
          <w:p>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高级经理</w:t>
            </w:r>
          </w:p>
        </w:tc>
        <w:tc>
          <w:tcPr>
            <w:tcW w:w="4356" w:type="dxa"/>
          </w:tcPr>
          <w:p>
            <w:pPr>
              <w:numPr>
                <w:ilvl w:val="0"/>
                <w:numId w:val="4"/>
              </w:num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联</w:t>
            </w:r>
            <w:r>
              <w:rPr>
                <w:rFonts w:hint="eastAsia" w:ascii="仿宋_GB2312" w:hAnsi="仿宋_GB2312" w:eastAsia="仿宋_GB2312" w:cs="仿宋_GB2312"/>
                <w:sz w:val="24"/>
              </w:rPr>
              <w:t>点项目预结算管理、招标限价、方案比选、市调、签证审核、结算审核</w:t>
            </w:r>
            <w:r>
              <w:rPr>
                <w:rFonts w:hint="eastAsia" w:ascii="仿宋_GB2312" w:hAnsi="仿宋_GB2312" w:eastAsia="仿宋_GB2312" w:cs="仿宋_GB2312"/>
                <w:sz w:val="24"/>
                <w:lang w:eastAsia="zh-CN"/>
              </w:rPr>
              <w:t>；</w:t>
            </w:r>
          </w:p>
          <w:p>
            <w:pPr>
              <w:numPr>
                <w:ilvl w:val="0"/>
                <w:numId w:val="4"/>
              </w:num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负责联点项目成本审核；</w:t>
            </w:r>
          </w:p>
          <w:p>
            <w:pPr>
              <w:numPr>
                <w:ilvl w:val="0"/>
                <w:numId w:val="4"/>
              </w:numPr>
              <w:spacing w:line="320" w:lineRule="exact"/>
              <w:ind w:left="0" w:leftChars="0" w:firstLine="0" w:firstLineChars="0"/>
              <w:jc w:val="left"/>
              <w:rPr>
                <w:rFonts w:hint="eastAsia" w:ascii="仿宋_GB2312" w:hAnsi="仿宋_GB2312" w:eastAsia="仿宋_GB2312" w:cs="仿宋_GB2312"/>
                <w:sz w:val="24"/>
              </w:rPr>
            </w:pPr>
            <w:r>
              <w:rPr>
                <w:rFonts w:hint="eastAsia" w:ascii="仿宋_GB2312" w:hAnsi="仿宋_GB2312" w:eastAsia="仿宋_GB2312" w:cs="仿宋_GB2312"/>
                <w:sz w:val="24"/>
              </w:rPr>
              <w:t>负责数据库的管理；</w:t>
            </w:r>
          </w:p>
          <w:p>
            <w:pPr>
              <w:numPr>
                <w:ilvl w:val="0"/>
                <w:numId w:val="0"/>
              </w:numPr>
              <w:spacing w:line="320" w:lineRule="exact"/>
              <w:ind w:leftChars="0"/>
              <w:jc w:val="left"/>
              <w:rPr>
                <w:rFonts w:ascii="仿宋_GB2312" w:hAnsi="仿宋_GB2312" w:eastAsia="仿宋_GB2312" w:cs="仿宋_GB2312"/>
                <w:sz w:val="24"/>
              </w:rPr>
            </w:pP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rPr>
              <w:t>负责预结算档案管理工作。</w:t>
            </w:r>
          </w:p>
        </w:tc>
        <w:tc>
          <w:tcPr>
            <w:tcW w:w="1603" w:type="dxa"/>
          </w:tcPr>
          <w:p>
            <w:pPr>
              <w:spacing w:line="320" w:lineRule="exact"/>
              <w:jc w:val="left"/>
              <w:rPr>
                <w:rFonts w:ascii="Arial" w:hAnsi="Arial" w:cs="Arial"/>
                <w:color w:val="333333"/>
                <w:sz w:val="4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242" w:type="dxa"/>
            <w:vAlign w:val="center"/>
          </w:tcPr>
          <w:p>
            <w:pPr>
              <w:spacing w:line="320" w:lineRule="exact"/>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机电造价</w:t>
            </w:r>
          </w:p>
        </w:tc>
        <w:tc>
          <w:tcPr>
            <w:tcW w:w="1323" w:type="dxa"/>
            <w:vAlign w:val="center"/>
          </w:tcPr>
          <w:p>
            <w:pPr>
              <w:spacing w:line="320" w:lineRule="exact"/>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高级经理</w:t>
            </w:r>
          </w:p>
        </w:tc>
        <w:tc>
          <w:tcPr>
            <w:tcW w:w="4356" w:type="dxa"/>
            <w:vAlign w:val="top"/>
          </w:tcPr>
          <w:p>
            <w:pPr>
              <w:numPr>
                <w:ilvl w:val="0"/>
                <w:numId w:val="5"/>
              </w:numPr>
              <w:spacing w:line="320" w:lineRule="exact"/>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联点项目预结算管理、招标限价、方案比选、市调、签证审核、结算审核、投资测算；</w:t>
            </w:r>
          </w:p>
          <w:p>
            <w:pPr>
              <w:numPr>
                <w:ilvl w:val="0"/>
                <w:numId w:val="5"/>
              </w:numPr>
              <w:spacing w:line="320" w:lineRule="exact"/>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负责联点项目成本审核；</w:t>
            </w:r>
          </w:p>
          <w:p>
            <w:pPr>
              <w:numPr>
                <w:ilvl w:val="0"/>
                <w:numId w:val="5"/>
              </w:numPr>
              <w:spacing w:line="320" w:lineRule="exact"/>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负责数据库的管理；</w:t>
            </w:r>
          </w:p>
          <w:p>
            <w:pPr>
              <w:numPr>
                <w:ilvl w:val="0"/>
                <w:numId w:val="5"/>
              </w:numPr>
              <w:spacing w:line="320" w:lineRule="exact"/>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负责预结算档案管理工作。</w:t>
            </w:r>
          </w:p>
        </w:tc>
        <w:tc>
          <w:tcPr>
            <w:tcW w:w="1603" w:type="dxa"/>
            <w:vAlign w:val="top"/>
          </w:tcPr>
          <w:p>
            <w:pPr>
              <w:jc w:val="center"/>
              <w:rPr>
                <w:rFonts w:ascii="仿宋_GB2312" w:hAnsi="仿宋_GB2312" w:eastAsia="仿宋_GB2312" w:cs="仿宋_GB2312"/>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1242" w:type="dxa"/>
            <w:vAlign w:val="center"/>
          </w:tcPr>
          <w:p>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招标管理</w:t>
            </w:r>
          </w:p>
        </w:tc>
        <w:tc>
          <w:tcPr>
            <w:tcW w:w="1323" w:type="dxa"/>
            <w:vAlign w:val="center"/>
          </w:tcPr>
          <w:p>
            <w:pPr>
              <w:spacing w:line="32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业务经理</w:t>
            </w:r>
          </w:p>
        </w:tc>
        <w:tc>
          <w:tcPr>
            <w:tcW w:w="4356" w:type="dxa"/>
          </w:tcPr>
          <w:p>
            <w:pPr>
              <w:numPr>
                <w:ilvl w:val="0"/>
                <w:numId w:val="6"/>
              </w:numPr>
              <w:spacing w:line="320" w:lineRule="exact"/>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负责区域公司主办的招标工作，招标项的市场调研，编制招标文件、组织招标文件评审、发标及收标；</w:t>
            </w:r>
          </w:p>
          <w:p>
            <w:pPr>
              <w:numPr>
                <w:ilvl w:val="0"/>
                <w:numId w:val="6"/>
              </w:numPr>
              <w:spacing w:line="320" w:lineRule="exact"/>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负责编制区域招标文件模板；</w:t>
            </w:r>
          </w:p>
          <w:p>
            <w:pPr>
              <w:numPr>
                <w:ilvl w:val="0"/>
                <w:numId w:val="6"/>
              </w:numPr>
              <w:spacing w:line="320" w:lineRule="exact"/>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负责审核项目公司合约规划、考核合约规划执行率；</w:t>
            </w:r>
          </w:p>
          <w:p>
            <w:pPr>
              <w:numPr>
                <w:ilvl w:val="0"/>
                <w:numId w:val="6"/>
              </w:numPr>
              <w:spacing w:line="320" w:lineRule="exact"/>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归档整理主办的招投标资料；</w:t>
            </w:r>
          </w:p>
          <w:p>
            <w:pPr>
              <w:numPr>
                <w:ilvl w:val="0"/>
                <w:numId w:val="6"/>
              </w:numPr>
              <w:spacing w:line="320" w:lineRule="exact"/>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负责组织供方寻源与引进工作、拓展和建立供方资源库；</w:t>
            </w:r>
          </w:p>
          <w:p>
            <w:pPr>
              <w:numPr>
                <w:ilvl w:val="0"/>
                <w:numId w:val="6"/>
              </w:numPr>
              <w:spacing w:line="320" w:lineRule="exact"/>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负责组织供方履约评价、建立合格供方名录。</w:t>
            </w:r>
          </w:p>
        </w:tc>
        <w:tc>
          <w:tcPr>
            <w:tcW w:w="1603" w:type="dxa"/>
          </w:tcPr>
          <w:p>
            <w:pPr>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1242" w:type="dxa"/>
            <w:vAlign w:val="center"/>
          </w:tcPr>
          <w:p>
            <w:pPr>
              <w:spacing w:line="32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法务管理</w:t>
            </w:r>
          </w:p>
        </w:tc>
        <w:tc>
          <w:tcPr>
            <w:tcW w:w="1323" w:type="dxa"/>
            <w:vAlign w:val="center"/>
          </w:tcPr>
          <w:p>
            <w:pPr>
              <w:spacing w:line="32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业务经理</w:t>
            </w:r>
          </w:p>
        </w:tc>
        <w:tc>
          <w:tcPr>
            <w:tcW w:w="4356" w:type="dxa"/>
          </w:tcPr>
          <w:p>
            <w:pPr>
              <w:numPr>
                <w:ilvl w:val="0"/>
                <w:numId w:val="7"/>
              </w:numPr>
              <w:spacing w:line="320" w:lineRule="exact"/>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区域投拓项目土地前期踏勘、尽职调查、法律意见书出具及报批；</w:t>
            </w:r>
          </w:p>
          <w:p>
            <w:pPr>
              <w:numPr>
                <w:ilvl w:val="0"/>
                <w:numId w:val="7"/>
              </w:numPr>
              <w:spacing w:line="320" w:lineRule="exact"/>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负责区域公司法律培训、普法活动；</w:t>
            </w:r>
          </w:p>
          <w:p>
            <w:pPr>
              <w:numPr>
                <w:ilvl w:val="0"/>
                <w:numId w:val="7"/>
              </w:numPr>
              <w:spacing w:line="320" w:lineRule="exact"/>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营销活动合法合规性审查、重大营销节点法律服务，业主投诉、法律纠纷咨询管理；</w:t>
            </w:r>
          </w:p>
          <w:p>
            <w:pPr>
              <w:numPr>
                <w:ilvl w:val="0"/>
                <w:numId w:val="7"/>
              </w:numPr>
              <w:spacing w:line="320" w:lineRule="exact"/>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合同法律评审及相关合同归口管理、协助合同标准文本编制；</w:t>
            </w:r>
          </w:p>
          <w:p>
            <w:pPr>
              <w:numPr>
                <w:ilvl w:val="0"/>
                <w:numId w:val="7"/>
              </w:numPr>
              <w:spacing w:line="320" w:lineRule="exact"/>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负责区域公司诉讼案件、全面风险管理事务，包括区域公司全部诉讼案件策划、审批、后评价，指导项目诉讼案件办理、律师事务所遴选，典型案例整理及经验总结。区域公司全面风险管理归集、整理，形成全面风险管理报告。区域公司法律工作资料、台账、法律工作数据、信息化的归口管理，与公检法司等法律机构的对接、联系，部门内业管理。</w:t>
            </w:r>
          </w:p>
        </w:tc>
        <w:tc>
          <w:tcPr>
            <w:tcW w:w="1603" w:type="dxa"/>
          </w:tcPr>
          <w:p>
            <w:pPr>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242" w:type="dxa"/>
            <w:vAlign w:val="center"/>
          </w:tcPr>
          <w:p>
            <w:pPr>
              <w:spacing w:line="3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rPr>
              <w:t>土建造</w:t>
            </w:r>
            <w:bookmarkStart w:id="0" w:name="_GoBack"/>
            <w:bookmarkEnd w:id="0"/>
            <w:r>
              <w:rPr>
                <w:rFonts w:hint="eastAsia" w:ascii="仿宋_GB2312" w:hAnsi="仿宋_GB2312" w:eastAsia="仿宋_GB2312" w:cs="仿宋_GB2312"/>
                <w:sz w:val="24"/>
              </w:rPr>
              <w:t>价</w:t>
            </w:r>
          </w:p>
        </w:tc>
        <w:tc>
          <w:tcPr>
            <w:tcW w:w="1323" w:type="dxa"/>
            <w:vAlign w:val="center"/>
          </w:tcPr>
          <w:p>
            <w:pPr>
              <w:spacing w:line="3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rPr>
              <w:t>业务</w:t>
            </w:r>
            <w:r>
              <w:rPr>
                <w:rFonts w:hint="eastAsia" w:ascii="仿宋_GB2312" w:hAnsi="仿宋_GB2312" w:eastAsia="仿宋_GB2312" w:cs="仿宋_GB2312"/>
                <w:sz w:val="24"/>
                <w:lang w:val="en-US" w:eastAsia="zh-CN"/>
              </w:rPr>
              <w:t>主办</w:t>
            </w:r>
          </w:p>
        </w:tc>
        <w:tc>
          <w:tcPr>
            <w:tcW w:w="4356" w:type="dxa"/>
          </w:tcPr>
          <w:p>
            <w:pPr>
              <w:numPr>
                <w:ilvl w:val="0"/>
                <w:numId w:val="0"/>
              </w:numPr>
              <w:spacing w:line="320" w:lineRule="exact"/>
              <w:jc w:val="left"/>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1联</w:t>
            </w:r>
            <w:r>
              <w:rPr>
                <w:rFonts w:hint="eastAsia" w:ascii="仿宋_GB2312" w:hAnsi="仿宋_GB2312" w:eastAsia="仿宋_GB2312" w:cs="仿宋_GB2312"/>
                <w:sz w:val="24"/>
              </w:rPr>
              <w:t>点项目预结算管理、招标限价、方案比选、市调、签证审核、结算审核</w:t>
            </w:r>
            <w:r>
              <w:rPr>
                <w:rFonts w:hint="eastAsia" w:ascii="仿宋_GB2312" w:hAnsi="仿宋_GB2312" w:eastAsia="仿宋_GB2312" w:cs="仿宋_GB2312"/>
                <w:sz w:val="24"/>
                <w:lang w:eastAsia="zh-CN"/>
              </w:rPr>
              <w:t>；</w:t>
            </w:r>
          </w:p>
          <w:p>
            <w:pPr>
              <w:numPr>
                <w:ilvl w:val="0"/>
                <w:numId w:val="0"/>
              </w:num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2.</w:t>
            </w:r>
            <w:r>
              <w:rPr>
                <w:rFonts w:hint="eastAsia" w:ascii="仿宋_GB2312" w:hAnsi="仿宋_GB2312" w:eastAsia="仿宋_GB2312" w:cs="仿宋_GB2312"/>
                <w:sz w:val="24"/>
              </w:rPr>
              <w:t>负责联点项目成本审核；</w:t>
            </w:r>
          </w:p>
          <w:p>
            <w:pPr>
              <w:numPr>
                <w:ilvl w:val="0"/>
                <w:numId w:val="0"/>
              </w:numPr>
              <w:spacing w:line="320" w:lineRule="exact"/>
              <w:ind w:leftChars="0"/>
              <w:jc w:val="left"/>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rPr>
              <w:t>负责数据库的管理；</w:t>
            </w:r>
          </w:p>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rPr>
              <w:t>负责预结算档案管理工作。</w:t>
            </w:r>
          </w:p>
        </w:tc>
        <w:tc>
          <w:tcPr>
            <w:tcW w:w="1603" w:type="dxa"/>
          </w:tcPr>
          <w:p>
            <w:pPr>
              <w:jc w:val="center"/>
              <w:rPr>
                <w:rFonts w:ascii="仿宋_GB2312" w:hAnsi="仿宋_GB2312" w:eastAsia="仿宋_GB2312" w:cs="仿宋_GB2312"/>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08CFE9"/>
    <w:multiLevelType w:val="singleLevel"/>
    <w:tmpl w:val="AB08CFE9"/>
    <w:lvl w:ilvl="0" w:tentative="0">
      <w:start w:val="1"/>
      <w:numFmt w:val="decimal"/>
      <w:lvlText w:val="%1."/>
      <w:lvlJc w:val="left"/>
      <w:pPr>
        <w:tabs>
          <w:tab w:val="left" w:pos="312"/>
        </w:tabs>
      </w:pPr>
    </w:lvl>
  </w:abstractNum>
  <w:abstractNum w:abstractNumId="1">
    <w:nsid w:val="AE1E121C"/>
    <w:multiLevelType w:val="singleLevel"/>
    <w:tmpl w:val="AE1E121C"/>
    <w:lvl w:ilvl="0" w:tentative="0">
      <w:start w:val="1"/>
      <w:numFmt w:val="decimal"/>
      <w:lvlText w:val="%1."/>
      <w:lvlJc w:val="left"/>
      <w:pPr>
        <w:tabs>
          <w:tab w:val="left" w:pos="312"/>
        </w:tabs>
      </w:pPr>
    </w:lvl>
  </w:abstractNum>
  <w:abstractNum w:abstractNumId="2">
    <w:nsid w:val="D33234DE"/>
    <w:multiLevelType w:val="singleLevel"/>
    <w:tmpl w:val="D33234DE"/>
    <w:lvl w:ilvl="0" w:tentative="0">
      <w:start w:val="1"/>
      <w:numFmt w:val="decimal"/>
      <w:lvlText w:val="%1."/>
      <w:lvlJc w:val="left"/>
      <w:pPr>
        <w:tabs>
          <w:tab w:val="left" w:pos="312"/>
        </w:tabs>
      </w:pPr>
    </w:lvl>
  </w:abstractNum>
  <w:abstractNum w:abstractNumId="3">
    <w:nsid w:val="D616E50B"/>
    <w:multiLevelType w:val="singleLevel"/>
    <w:tmpl w:val="D616E50B"/>
    <w:lvl w:ilvl="0" w:tentative="0">
      <w:start w:val="1"/>
      <w:numFmt w:val="decimal"/>
      <w:lvlText w:val="%1."/>
      <w:lvlJc w:val="left"/>
      <w:pPr>
        <w:tabs>
          <w:tab w:val="left" w:pos="312"/>
        </w:tabs>
      </w:pPr>
    </w:lvl>
  </w:abstractNum>
  <w:abstractNum w:abstractNumId="4">
    <w:nsid w:val="EC510A4D"/>
    <w:multiLevelType w:val="singleLevel"/>
    <w:tmpl w:val="EC510A4D"/>
    <w:lvl w:ilvl="0" w:tentative="0">
      <w:start w:val="1"/>
      <w:numFmt w:val="decimal"/>
      <w:lvlText w:val="%1."/>
      <w:lvlJc w:val="left"/>
      <w:pPr>
        <w:tabs>
          <w:tab w:val="left" w:pos="312"/>
        </w:tabs>
      </w:pPr>
    </w:lvl>
  </w:abstractNum>
  <w:abstractNum w:abstractNumId="5">
    <w:nsid w:val="22B8CFD2"/>
    <w:multiLevelType w:val="singleLevel"/>
    <w:tmpl w:val="22B8CFD2"/>
    <w:lvl w:ilvl="0" w:tentative="0">
      <w:start w:val="1"/>
      <w:numFmt w:val="decimal"/>
      <w:lvlText w:val="%1."/>
      <w:lvlJc w:val="left"/>
      <w:pPr>
        <w:tabs>
          <w:tab w:val="left" w:pos="312"/>
        </w:tabs>
      </w:pPr>
    </w:lvl>
  </w:abstractNum>
  <w:abstractNum w:abstractNumId="6">
    <w:nsid w:val="422BF14A"/>
    <w:multiLevelType w:val="singleLevel"/>
    <w:tmpl w:val="422BF14A"/>
    <w:lvl w:ilvl="0" w:tentative="0">
      <w:start w:val="1"/>
      <w:numFmt w:val="decimal"/>
      <w:lvlText w:val="%1."/>
      <w:lvlJc w:val="left"/>
      <w:pPr>
        <w:tabs>
          <w:tab w:val="left" w:pos="312"/>
        </w:tabs>
      </w:pPr>
    </w:lvl>
  </w:abstractNum>
  <w:num w:numId="1">
    <w:abstractNumId w:val="5"/>
  </w:num>
  <w:num w:numId="2">
    <w:abstractNumId w:val="4"/>
  </w:num>
  <w:num w:numId="3">
    <w:abstractNumId w:val="6"/>
  </w:num>
  <w:num w:numId="4">
    <w:abstractNumId w:val="2"/>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B14FD2"/>
    <w:rsid w:val="0000163B"/>
    <w:rsid w:val="00022FAA"/>
    <w:rsid w:val="001608D6"/>
    <w:rsid w:val="001D2EDA"/>
    <w:rsid w:val="001F1377"/>
    <w:rsid w:val="00266E8D"/>
    <w:rsid w:val="00337A7D"/>
    <w:rsid w:val="00487D9C"/>
    <w:rsid w:val="005010A0"/>
    <w:rsid w:val="005A6ED9"/>
    <w:rsid w:val="00664D13"/>
    <w:rsid w:val="00711811"/>
    <w:rsid w:val="007B20E7"/>
    <w:rsid w:val="007C4D03"/>
    <w:rsid w:val="007F707D"/>
    <w:rsid w:val="009F7E5B"/>
    <w:rsid w:val="00B73BBA"/>
    <w:rsid w:val="00B75B2B"/>
    <w:rsid w:val="00C934BF"/>
    <w:rsid w:val="00D528C4"/>
    <w:rsid w:val="00D63195"/>
    <w:rsid w:val="00F118AC"/>
    <w:rsid w:val="02E72FB3"/>
    <w:rsid w:val="07042388"/>
    <w:rsid w:val="07F55614"/>
    <w:rsid w:val="089E3D2B"/>
    <w:rsid w:val="0A247759"/>
    <w:rsid w:val="0D067C59"/>
    <w:rsid w:val="0EDC017D"/>
    <w:rsid w:val="11B03097"/>
    <w:rsid w:val="15825107"/>
    <w:rsid w:val="163B0FB4"/>
    <w:rsid w:val="169E2522"/>
    <w:rsid w:val="199C0B82"/>
    <w:rsid w:val="1D5303F7"/>
    <w:rsid w:val="1DE5718E"/>
    <w:rsid w:val="23CF46A5"/>
    <w:rsid w:val="24257E9B"/>
    <w:rsid w:val="2667190E"/>
    <w:rsid w:val="267B3AD4"/>
    <w:rsid w:val="26D558BC"/>
    <w:rsid w:val="27194AE3"/>
    <w:rsid w:val="29133994"/>
    <w:rsid w:val="2AB56F65"/>
    <w:rsid w:val="2CB14FD2"/>
    <w:rsid w:val="30AC31EE"/>
    <w:rsid w:val="335C6CA0"/>
    <w:rsid w:val="353405DF"/>
    <w:rsid w:val="35770BA1"/>
    <w:rsid w:val="36A808B9"/>
    <w:rsid w:val="37E25861"/>
    <w:rsid w:val="3D767AFF"/>
    <w:rsid w:val="42182EF5"/>
    <w:rsid w:val="431B7A7E"/>
    <w:rsid w:val="4447277F"/>
    <w:rsid w:val="45985037"/>
    <w:rsid w:val="47352BF4"/>
    <w:rsid w:val="475F213D"/>
    <w:rsid w:val="48A07BD1"/>
    <w:rsid w:val="499B0D37"/>
    <w:rsid w:val="4A222878"/>
    <w:rsid w:val="4C8D052F"/>
    <w:rsid w:val="4D704C00"/>
    <w:rsid w:val="4DD8517C"/>
    <w:rsid w:val="4E5F44BA"/>
    <w:rsid w:val="4FAA2AFF"/>
    <w:rsid w:val="503432CE"/>
    <w:rsid w:val="503B63F9"/>
    <w:rsid w:val="51E94FFB"/>
    <w:rsid w:val="56675A91"/>
    <w:rsid w:val="57A82C2F"/>
    <w:rsid w:val="57C70547"/>
    <w:rsid w:val="598F3BD0"/>
    <w:rsid w:val="5AB94B33"/>
    <w:rsid w:val="5D643781"/>
    <w:rsid w:val="5DFF75B1"/>
    <w:rsid w:val="6272388E"/>
    <w:rsid w:val="63C6672D"/>
    <w:rsid w:val="6470620E"/>
    <w:rsid w:val="64C16F35"/>
    <w:rsid w:val="69641A85"/>
    <w:rsid w:val="69984E7F"/>
    <w:rsid w:val="699E71C6"/>
    <w:rsid w:val="69AE7493"/>
    <w:rsid w:val="6AD56183"/>
    <w:rsid w:val="6C3F07B9"/>
    <w:rsid w:val="6CB43C2C"/>
    <w:rsid w:val="6CDD1BA9"/>
    <w:rsid w:val="73C7456D"/>
    <w:rsid w:val="76753E38"/>
    <w:rsid w:val="77FD312A"/>
    <w:rsid w:val="793E27F9"/>
    <w:rsid w:val="7B570952"/>
    <w:rsid w:val="7C400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4"/>
    <w:qFormat/>
    <w:uiPriority w:val="0"/>
    <w:pPr>
      <w:tabs>
        <w:tab w:val="center" w:pos="4153"/>
        <w:tab w:val="right" w:pos="8306"/>
      </w:tabs>
      <w:snapToGrid w:val="0"/>
      <w:jc w:val="left"/>
    </w:pPr>
    <w:rPr>
      <w:sz w:val="18"/>
      <w:szCs w:val="18"/>
    </w:rPr>
  </w:style>
  <w:style w:type="paragraph" w:styleId="4">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rFonts w:hint="eastAsia" w:ascii="微软雅黑" w:hAnsi="微软雅黑" w:eastAsia="微软雅黑"/>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_Style 1"/>
    <w:basedOn w:val="1"/>
    <w:qFormat/>
    <w:uiPriority w:val="34"/>
    <w:pPr>
      <w:ind w:firstLine="420" w:firstLineChars="200"/>
    </w:pPr>
    <w:rPr>
      <w:szCs w:val="22"/>
    </w:rPr>
  </w:style>
  <w:style w:type="paragraph" w:styleId="10">
    <w:name w:val="List Paragraph"/>
    <w:basedOn w:val="1"/>
    <w:unhideWhenUsed/>
    <w:qFormat/>
    <w:uiPriority w:val="99"/>
    <w:pPr>
      <w:ind w:firstLine="420" w:firstLineChars="200"/>
    </w:pPr>
  </w:style>
  <w:style w:type="character" w:customStyle="1" w:styleId="11">
    <w:name w:val="标题 1 Char"/>
    <w:basedOn w:val="8"/>
    <w:link w:val="2"/>
    <w:qFormat/>
    <w:uiPriority w:val="9"/>
    <w:rPr>
      <w:rFonts w:ascii="宋体" w:hAnsi="宋体" w:cs="宋体"/>
      <w:b/>
      <w:bCs/>
      <w:kern w:val="36"/>
      <w:sz w:val="48"/>
      <w:szCs w:val="48"/>
    </w:rPr>
  </w:style>
  <w:style w:type="character" w:customStyle="1" w:styleId="12">
    <w:name w:val="detail-tit"/>
    <w:basedOn w:val="8"/>
    <w:qFormat/>
    <w:uiPriority w:val="0"/>
  </w:style>
  <w:style w:type="character" w:customStyle="1" w:styleId="13">
    <w:name w:val="页眉 Char"/>
    <w:basedOn w:val="8"/>
    <w:link w:val="4"/>
    <w:qFormat/>
    <w:uiPriority w:val="0"/>
    <w:rPr>
      <w:rFonts w:ascii="Calibri" w:hAnsi="Calibri" w:cs="Times New Roman"/>
      <w:kern w:val="2"/>
      <w:sz w:val="18"/>
      <w:szCs w:val="18"/>
    </w:rPr>
  </w:style>
  <w:style w:type="character" w:customStyle="1" w:styleId="14">
    <w:name w:val="页脚 Char"/>
    <w:basedOn w:val="8"/>
    <w:link w:val="3"/>
    <w:qFormat/>
    <w:uiPriority w:val="0"/>
    <w:rPr>
      <w:rFonts w:ascii="Calibri" w:hAnsi="Calibri"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142</Words>
  <Characters>811</Characters>
  <Lines>6</Lines>
  <Paragraphs>1</Paragraphs>
  <TotalTime>1</TotalTime>
  <ScaleCrop>false</ScaleCrop>
  <LinksUpToDate>false</LinksUpToDate>
  <CharactersWithSpaces>952</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2020-03-05T01:21:00Z</dcterms:created>
  <dc:creator>廖桓嘉</dc:creator>
  <cp:lastModifiedBy>小米1370662289</cp:lastModifiedBy>
  <cp:lastPrinted>2020-05-14T02:59:00Z</cp:lastPrinted>
  <dcterms:modified xsi:type="dcterms:W3CDTF">2020-06-04T09:26:13Z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